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97527">
      <w:pPr>
        <w:spacing w:line="440" w:lineRule="exact"/>
        <w:jc w:val="center"/>
        <w:rPr>
          <w:b/>
          <w:bCs/>
          <w:sz w:val="44"/>
          <w:szCs w:val="44"/>
        </w:rPr>
      </w:pPr>
      <w:r>
        <w:rPr>
          <w:rFonts w:hint="eastAsia"/>
          <w:b/>
          <w:bCs/>
          <w:sz w:val="44"/>
          <w:szCs w:val="44"/>
        </w:rPr>
        <w:t>报价单</w:t>
      </w:r>
    </w:p>
    <w:p w14:paraId="76652F2E">
      <w:pPr>
        <w:spacing w:line="440" w:lineRule="exact"/>
        <w:jc w:val="center"/>
        <w:rPr>
          <w:sz w:val="24"/>
          <w:szCs w:val="24"/>
        </w:rPr>
      </w:pPr>
    </w:p>
    <w:p w14:paraId="287A9856">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1F66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D194167">
            <w:pPr>
              <w:spacing w:line="360" w:lineRule="auto"/>
              <w:jc w:val="center"/>
              <w:rPr>
                <w:sz w:val="24"/>
                <w:szCs w:val="24"/>
              </w:rPr>
            </w:pPr>
            <w:r>
              <w:rPr>
                <w:rFonts w:hint="eastAsia"/>
                <w:sz w:val="24"/>
                <w:szCs w:val="24"/>
              </w:rPr>
              <w:t>设备名称</w:t>
            </w:r>
          </w:p>
        </w:tc>
        <w:tc>
          <w:tcPr>
            <w:tcW w:w="5835" w:type="dxa"/>
            <w:vAlign w:val="top"/>
          </w:tcPr>
          <w:p w14:paraId="6F8BB556">
            <w:pPr>
              <w:spacing w:line="360" w:lineRule="auto"/>
              <w:jc w:val="left"/>
              <w:rPr>
                <w:sz w:val="24"/>
                <w:szCs w:val="24"/>
              </w:rPr>
            </w:pPr>
          </w:p>
        </w:tc>
      </w:tr>
      <w:tr w14:paraId="51C5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0AE0EB7">
            <w:pPr>
              <w:spacing w:line="360" w:lineRule="auto"/>
              <w:jc w:val="center"/>
              <w:rPr>
                <w:sz w:val="24"/>
                <w:szCs w:val="24"/>
              </w:rPr>
            </w:pPr>
            <w:r>
              <w:rPr>
                <w:rFonts w:hint="eastAsia"/>
                <w:sz w:val="24"/>
                <w:szCs w:val="24"/>
              </w:rPr>
              <w:t>型号</w:t>
            </w:r>
          </w:p>
        </w:tc>
        <w:tc>
          <w:tcPr>
            <w:tcW w:w="5835" w:type="dxa"/>
            <w:vAlign w:val="top"/>
          </w:tcPr>
          <w:p w14:paraId="70A097DB">
            <w:pPr>
              <w:spacing w:line="360" w:lineRule="auto"/>
              <w:jc w:val="left"/>
              <w:rPr>
                <w:sz w:val="24"/>
                <w:szCs w:val="24"/>
              </w:rPr>
            </w:pPr>
          </w:p>
        </w:tc>
      </w:tr>
      <w:tr w14:paraId="08DB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C350173">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0B02D266">
            <w:pPr>
              <w:spacing w:line="360" w:lineRule="auto"/>
              <w:jc w:val="left"/>
              <w:rPr>
                <w:sz w:val="24"/>
                <w:szCs w:val="24"/>
              </w:rPr>
            </w:pPr>
          </w:p>
        </w:tc>
      </w:tr>
      <w:tr w14:paraId="7DF4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CEE2C63">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103D50AD">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0291D6FF">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68F8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82427B7">
            <w:pPr>
              <w:spacing w:line="360" w:lineRule="auto"/>
              <w:jc w:val="center"/>
              <w:rPr>
                <w:sz w:val="24"/>
                <w:szCs w:val="24"/>
              </w:rPr>
            </w:pPr>
            <w:r>
              <w:rPr>
                <w:rFonts w:hint="eastAsia"/>
                <w:sz w:val="24"/>
                <w:szCs w:val="24"/>
              </w:rPr>
              <w:t>产地</w:t>
            </w:r>
          </w:p>
        </w:tc>
        <w:tc>
          <w:tcPr>
            <w:tcW w:w="5835" w:type="dxa"/>
            <w:vAlign w:val="top"/>
          </w:tcPr>
          <w:p w14:paraId="2C1709F5">
            <w:pPr>
              <w:spacing w:line="360" w:lineRule="auto"/>
              <w:jc w:val="left"/>
              <w:rPr>
                <w:sz w:val="24"/>
                <w:szCs w:val="24"/>
              </w:rPr>
            </w:pPr>
          </w:p>
        </w:tc>
      </w:tr>
      <w:tr w14:paraId="0E52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17C705B">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1C4F120F">
            <w:pPr>
              <w:spacing w:line="360" w:lineRule="auto"/>
              <w:jc w:val="left"/>
              <w:rPr>
                <w:sz w:val="24"/>
                <w:szCs w:val="24"/>
              </w:rPr>
            </w:pPr>
          </w:p>
        </w:tc>
      </w:tr>
      <w:tr w14:paraId="26D5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3696107">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1369682C">
            <w:pPr>
              <w:spacing w:line="360" w:lineRule="auto"/>
              <w:jc w:val="left"/>
              <w:rPr>
                <w:sz w:val="24"/>
                <w:szCs w:val="24"/>
              </w:rPr>
            </w:pPr>
          </w:p>
        </w:tc>
      </w:tr>
      <w:tr w14:paraId="013D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5AA9D50">
            <w:pPr>
              <w:spacing w:line="360" w:lineRule="auto"/>
              <w:jc w:val="center"/>
              <w:rPr>
                <w:sz w:val="24"/>
                <w:szCs w:val="24"/>
              </w:rPr>
            </w:pPr>
            <w:r>
              <w:rPr>
                <w:rFonts w:hint="eastAsia"/>
                <w:sz w:val="24"/>
                <w:szCs w:val="24"/>
              </w:rPr>
              <w:t>单价（元）</w:t>
            </w:r>
          </w:p>
        </w:tc>
        <w:tc>
          <w:tcPr>
            <w:tcW w:w="5835" w:type="dxa"/>
            <w:vAlign w:val="top"/>
          </w:tcPr>
          <w:p w14:paraId="613CCB4E">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3EBD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ED9437A">
            <w:pPr>
              <w:spacing w:line="360" w:lineRule="auto"/>
              <w:jc w:val="center"/>
              <w:rPr>
                <w:sz w:val="24"/>
                <w:szCs w:val="24"/>
              </w:rPr>
            </w:pPr>
            <w:r>
              <w:rPr>
                <w:rFonts w:hint="eastAsia"/>
                <w:sz w:val="24"/>
                <w:szCs w:val="24"/>
              </w:rPr>
              <w:t>总价（元）</w:t>
            </w:r>
          </w:p>
        </w:tc>
        <w:tc>
          <w:tcPr>
            <w:tcW w:w="5835" w:type="dxa"/>
            <w:vAlign w:val="top"/>
          </w:tcPr>
          <w:p w14:paraId="3A9050B8">
            <w:pPr>
              <w:spacing w:line="360" w:lineRule="auto"/>
              <w:jc w:val="left"/>
              <w:rPr>
                <w:sz w:val="24"/>
                <w:szCs w:val="24"/>
              </w:rPr>
            </w:pPr>
          </w:p>
        </w:tc>
      </w:tr>
      <w:tr w14:paraId="5DE1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5D958E7">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5E0D3102">
            <w:pPr>
              <w:spacing w:line="360" w:lineRule="auto"/>
              <w:jc w:val="left"/>
              <w:rPr>
                <w:rFonts w:hint="eastAsia"/>
                <w:sz w:val="21"/>
                <w:szCs w:val="21"/>
                <w:lang w:val="en-US" w:eastAsia="zh-CN"/>
              </w:rPr>
            </w:pPr>
          </w:p>
          <w:p w14:paraId="0F58B54D">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523F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986C123">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5367FD08">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7103471F">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33C484F0">
      <w:pPr>
        <w:jc w:val="center"/>
        <w:rPr>
          <w:rFonts w:hint="eastAsia"/>
          <w:sz w:val="24"/>
          <w:szCs w:val="24"/>
        </w:rPr>
      </w:pPr>
      <w:r>
        <w:rPr>
          <w:rFonts w:hint="eastAsia"/>
          <w:sz w:val="24"/>
          <w:szCs w:val="24"/>
        </w:rPr>
        <w:t xml:space="preserve">                                                                              </w:t>
      </w:r>
    </w:p>
    <w:p w14:paraId="212CF1A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3866EE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4C1B54A1">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044766CA">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A33AA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3090F5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747D86CC">
      <w:pPr>
        <w:spacing w:line="440" w:lineRule="exact"/>
        <w:rPr>
          <w:rFonts w:hint="eastAsia"/>
          <w:b/>
          <w:bCs/>
          <w:color w:val="0000FF"/>
          <w:sz w:val="21"/>
          <w:szCs w:val="21"/>
        </w:rPr>
      </w:pPr>
      <w:r>
        <w:rPr>
          <w:rFonts w:hint="eastAsia"/>
          <w:b/>
          <w:bCs/>
          <w:color w:val="0000FF"/>
          <w:sz w:val="21"/>
          <w:szCs w:val="21"/>
        </w:rPr>
        <w:t>报价供应商须同时提供以下资料：</w:t>
      </w:r>
    </w:p>
    <w:p w14:paraId="146D6A27">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6A4E0B5E">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001E8681">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287146C8">
      <w:pPr>
        <w:pStyle w:val="3"/>
        <w:ind w:left="0" w:leftChars="0" w:firstLine="0" w:firstLineChars="0"/>
        <w:rPr>
          <w:rFonts w:hint="eastAsia"/>
          <w:b/>
          <w:bCs/>
          <w:color w:val="0000FF"/>
          <w:sz w:val="24"/>
        </w:rPr>
      </w:pPr>
    </w:p>
    <w:p w14:paraId="24E9CC7C">
      <w:pPr>
        <w:pStyle w:val="3"/>
        <w:rPr>
          <w:rFonts w:hint="eastAsia"/>
          <w:b/>
          <w:bCs/>
          <w:color w:val="0000FF"/>
          <w:sz w:val="24"/>
        </w:rPr>
      </w:pPr>
    </w:p>
    <w:p w14:paraId="3A490A3D">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7374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22ADC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13C5CFB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356D4A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29B5AB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14131FB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07C3E0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34C31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7BA52A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6948D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42D59D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500FEC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2EEF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2532101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0F5505B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185093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152AA7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34129D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02E9DB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6EFD4BB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26299E8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3EAD355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5913609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3F964A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35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3101B73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0740F199">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768CDE0C">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36767D76">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3476299C">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733AB7DE">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1DEF3BB3">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C2F988E">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4E364C71">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56CF0936">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4F636222">
            <w:pPr>
              <w:jc w:val="center"/>
              <w:rPr>
                <w:rFonts w:hint="eastAsia" w:ascii="宋体" w:hAnsi="宋体" w:eastAsia="宋体" w:cs="宋体"/>
                <w:i w:val="0"/>
                <w:iCs w:val="0"/>
                <w:color w:val="000000"/>
                <w:sz w:val="18"/>
                <w:szCs w:val="18"/>
                <w:u w:val="none"/>
              </w:rPr>
            </w:pPr>
          </w:p>
        </w:tc>
      </w:tr>
      <w:tr w14:paraId="5C25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35B6F0A9">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5927ADB4">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54FE3949">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6738667B">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F21C5E0">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66E21243">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595206BD">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04D7114A">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4B0C9F61">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2D85297E">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29E4C5A2">
            <w:pPr>
              <w:rPr>
                <w:rFonts w:hint="eastAsia" w:ascii="宋体" w:hAnsi="宋体" w:eastAsia="宋体" w:cs="宋体"/>
                <w:i w:val="0"/>
                <w:iCs w:val="0"/>
                <w:color w:val="000000"/>
                <w:sz w:val="18"/>
                <w:szCs w:val="18"/>
                <w:u w:val="none"/>
              </w:rPr>
            </w:pPr>
          </w:p>
        </w:tc>
      </w:tr>
    </w:tbl>
    <w:p w14:paraId="0DF969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2C7E8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3B80E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A9E93B4">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48BFF4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0391C1F2">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03EACEF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5D1A03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36B25289">
      <w:pPr>
        <w:spacing w:line="440" w:lineRule="exact"/>
        <w:jc w:val="center"/>
        <w:rPr>
          <w:rFonts w:hint="eastAsia"/>
          <w:b/>
          <w:sz w:val="32"/>
          <w:szCs w:val="32"/>
        </w:rPr>
      </w:pPr>
    </w:p>
    <w:p w14:paraId="251446CE">
      <w:pPr>
        <w:spacing w:line="440" w:lineRule="exact"/>
        <w:jc w:val="center"/>
        <w:rPr>
          <w:rFonts w:hint="eastAsia"/>
          <w:b/>
          <w:sz w:val="32"/>
          <w:szCs w:val="32"/>
        </w:rPr>
      </w:pPr>
    </w:p>
    <w:p w14:paraId="3C1D2C53">
      <w:pPr>
        <w:spacing w:line="440" w:lineRule="exact"/>
        <w:jc w:val="both"/>
        <w:rPr>
          <w:rFonts w:hint="eastAsia"/>
          <w:b/>
          <w:sz w:val="32"/>
          <w:szCs w:val="32"/>
        </w:rPr>
      </w:pPr>
    </w:p>
    <w:p w14:paraId="7C8C0C69">
      <w:pPr>
        <w:pStyle w:val="3"/>
        <w:rPr>
          <w:rFonts w:hint="eastAsia"/>
          <w:b/>
          <w:sz w:val="32"/>
          <w:szCs w:val="32"/>
        </w:rPr>
      </w:pPr>
    </w:p>
    <w:p w14:paraId="18D44D96">
      <w:pPr>
        <w:pStyle w:val="3"/>
        <w:rPr>
          <w:rFonts w:hint="eastAsia"/>
          <w:b/>
          <w:sz w:val="32"/>
          <w:szCs w:val="32"/>
        </w:rPr>
      </w:pPr>
    </w:p>
    <w:p w14:paraId="6970E01F">
      <w:pPr>
        <w:pStyle w:val="3"/>
        <w:rPr>
          <w:rFonts w:hint="eastAsia"/>
          <w:b/>
          <w:sz w:val="32"/>
          <w:szCs w:val="32"/>
        </w:rPr>
      </w:pPr>
    </w:p>
    <w:p w14:paraId="586F0A61">
      <w:pPr>
        <w:pStyle w:val="3"/>
        <w:rPr>
          <w:rFonts w:hint="eastAsia"/>
          <w:b/>
          <w:sz w:val="32"/>
          <w:szCs w:val="32"/>
        </w:rPr>
      </w:pPr>
    </w:p>
    <w:p w14:paraId="521C5E86">
      <w:pPr>
        <w:spacing w:line="440" w:lineRule="exact"/>
        <w:jc w:val="center"/>
        <w:rPr>
          <w:rFonts w:hint="eastAsia"/>
          <w:b/>
          <w:sz w:val="32"/>
          <w:szCs w:val="32"/>
        </w:rPr>
      </w:pPr>
    </w:p>
    <w:p w14:paraId="13D5CCEF">
      <w:pPr>
        <w:spacing w:line="440" w:lineRule="exact"/>
        <w:jc w:val="both"/>
        <w:rPr>
          <w:rFonts w:hint="eastAsia"/>
          <w:b/>
          <w:sz w:val="32"/>
          <w:szCs w:val="32"/>
        </w:rPr>
      </w:pPr>
    </w:p>
    <w:p w14:paraId="0F7FA77D">
      <w:pPr>
        <w:spacing w:line="440" w:lineRule="exact"/>
        <w:jc w:val="center"/>
        <w:rPr>
          <w:rFonts w:hint="eastAsia"/>
          <w:b/>
          <w:sz w:val="32"/>
          <w:szCs w:val="32"/>
        </w:rPr>
      </w:pPr>
    </w:p>
    <w:p w14:paraId="7D076E99">
      <w:pPr>
        <w:spacing w:line="440" w:lineRule="exact"/>
        <w:jc w:val="center"/>
        <w:rPr>
          <w:b/>
          <w:sz w:val="32"/>
          <w:szCs w:val="32"/>
        </w:rPr>
      </w:pPr>
      <w:r>
        <w:rPr>
          <w:rFonts w:hint="eastAsia"/>
          <w:b/>
          <w:sz w:val="32"/>
          <w:szCs w:val="32"/>
        </w:rPr>
        <w:t>参数偏离情况表</w:t>
      </w:r>
    </w:p>
    <w:p w14:paraId="026812DE">
      <w:pPr>
        <w:spacing w:line="440" w:lineRule="exact"/>
        <w:rPr>
          <w:b/>
          <w:bCs/>
          <w:sz w:val="24"/>
        </w:rPr>
      </w:pPr>
      <w:r>
        <w:rPr>
          <w:rFonts w:hint="eastAsia"/>
          <w:b/>
          <w:bCs/>
          <w:sz w:val="24"/>
        </w:rPr>
        <w:t>填写要求：</w:t>
      </w:r>
    </w:p>
    <w:p w14:paraId="7CE1CD45">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258F8149">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0D75AC80">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68A705D">
      <w:pPr>
        <w:spacing w:line="380" w:lineRule="exact"/>
        <w:rPr>
          <w:rFonts w:ascii="宋体" w:hAnsi="宋体"/>
          <w:color w:val="000000"/>
          <w:szCs w:val="21"/>
        </w:rPr>
      </w:pPr>
    </w:p>
    <w:p w14:paraId="15675B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78BFC76E">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2159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0017506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5100A1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5C6FB79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5E7CF350">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1D6E89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CCB459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5311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A0D6EC1">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97D0BA2">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8CE27D8">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DAFD650">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8D7F07D">
            <w:pPr>
              <w:widowControl/>
              <w:spacing w:line="440" w:lineRule="exact"/>
              <w:rPr>
                <w:rFonts w:ascii="宋体" w:hAnsi="宋体" w:cs="宋体"/>
                <w:bCs/>
                <w:sz w:val="18"/>
                <w:szCs w:val="18"/>
              </w:rPr>
            </w:pPr>
          </w:p>
        </w:tc>
      </w:tr>
      <w:tr w14:paraId="273F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54BB99C">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E0EC6C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37335F4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1E6FF920">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61710653">
            <w:pPr>
              <w:widowControl/>
              <w:spacing w:line="440" w:lineRule="exact"/>
              <w:rPr>
                <w:rFonts w:ascii="宋体" w:hAnsi="宋体" w:cs="宋体"/>
                <w:bCs/>
                <w:sz w:val="18"/>
                <w:szCs w:val="18"/>
              </w:rPr>
            </w:pPr>
          </w:p>
        </w:tc>
      </w:tr>
      <w:tr w14:paraId="0901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425261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D566986">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69D12B1F">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6606DC9E">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1BC4A7F">
            <w:pPr>
              <w:widowControl/>
              <w:spacing w:line="440" w:lineRule="exact"/>
              <w:rPr>
                <w:rFonts w:ascii="宋体" w:hAnsi="宋体" w:cs="宋体"/>
                <w:bCs/>
                <w:sz w:val="18"/>
                <w:szCs w:val="18"/>
              </w:rPr>
            </w:pPr>
          </w:p>
        </w:tc>
      </w:tr>
      <w:tr w14:paraId="3FFA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C269A6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6C56A2C">
            <w:pPr>
              <w:widowControl/>
              <w:spacing w:line="440" w:lineRule="exact"/>
              <w:jc w:val="center"/>
              <w:rPr>
                <w:rFonts w:ascii="宋体" w:hAnsi="宋体" w:cs="宋体"/>
                <w:bCs/>
                <w:sz w:val="18"/>
                <w:szCs w:val="18"/>
              </w:rPr>
            </w:pPr>
          </w:p>
        </w:tc>
        <w:tc>
          <w:tcPr>
            <w:tcW w:w="4638" w:type="dxa"/>
            <w:shd w:val="clear" w:color="000000" w:fill="FFFFFF"/>
            <w:noWrap/>
            <w:vAlign w:val="center"/>
          </w:tcPr>
          <w:p w14:paraId="4C71DCF6">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7467197">
            <w:pPr>
              <w:widowControl/>
              <w:spacing w:line="440" w:lineRule="exact"/>
              <w:jc w:val="center"/>
              <w:rPr>
                <w:rFonts w:ascii="宋体" w:hAnsi="宋体" w:cs="宋体"/>
                <w:bCs/>
                <w:sz w:val="18"/>
                <w:szCs w:val="18"/>
              </w:rPr>
            </w:pPr>
          </w:p>
        </w:tc>
        <w:tc>
          <w:tcPr>
            <w:tcW w:w="1669" w:type="dxa"/>
            <w:shd w:val="clear" w:color="000000" w:fill="FFFFFF"/>
            <w:noWrap/>
            <w:vAlign w:val="center"/>
          </w:tcPr>
          <w:p w14:paraId="5250D724">
            <w:pPr>
              <w:widowControl/>
              <w:spacing w:line="440" w:lineRule="exact"/>
              <w:rPr>
                <w:rFonts w:ascii="宋体" w:hAnsi="宋体" w:cs="宋体"/>
                <w:bCs/>
                <w:sz w:val="18"/>
                <w:szCs w:val="18"/>
              </w:rPr>
            </w:pPr>
          </w:p>
        </w:tc>
      </w:tr>
      <w:tr w14:paraId="35B5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3997479C">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F3AB4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6844E33">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424D8B9">
            <w:pPr>
              <w:spacing w:line="440" w:lineRule="exact"/>
              <w:jc w:val="center"/>
              <w:rPr>
                <w:rFonts w:ascii="宋体" w:hAnsi="宋体" w:cs="宋体"/>
                <w:bCs/>
                <w:sz w:val="18"/>
                <w:szCs w:val="18"/>
              </w:rPr>
            </w:pPr>
          </w:p>
        </w:tc>
        <w:tc>
          <w:tcPr>
            <w:tcW w:w="1669" w:type="dxa"/>
            <w:shd w:val="clear" w:color="000000" w:fill="FFFFFF"/>
            <w:noWrap/>
            <w:vAlign w:val="center"/>
          </w:tcPr>
          <w:p w14:paraId="343D947B">
            <w:pPr>
              <w:widowControl/>
              <w:spacing w:line="440" w:lineRule="exact"/>
              <w:rPr>
                <w:rFonts w:ascii="宋体" w:hAnsi="宋体" w:cs="宋体"/>
                <w:bCs/>
                <w:sz w:val="18"/>
                <w:szCs w:val="18"/>
              </w:rPr>
            </w:pPr>
          </w:p>
        </w:tc>
      </w:tr>
      <w:tr w14:paraId="6F6A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EB2DF8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CF899A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63B1F6C">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5BD3203">
            <w:pPr>
              <w:spacing w:line="440" w:lineRule="exact"/>
              <w:jc w:val="center"/>
              <w:rPr>
                <w:rFonts w:ascii="宋体" w:hAnsi="宋体" w:cs="宋体"/>
                <w:bCs/>
                <w:sz w:val="18"/>
                <w:szCs w:val="18"/>
              </w:rPr>
            </w:pPr>
          </w:p>
        </w:tc>
        <w:tc>
          <w:tcPr>
            <w:tcW w:w="1669" w:type="dxa"/>
            <w:shd w:val="clear" w:color="000000" w:fill="FFFFFF"/>
            <w:noWrap/>
            <w:vAlign w:val="center"/>
          </w:tcPr>
          <w:p w14:paraId="25DF9FD2">
            <w:pPr>
              <w:widowControl/>
              <w:spacing w:line="440" w:lineRule="exact"/>
              <w:rPr>
                <w:rFonts w:ascii="宋体" w:hAnsi="宋体" w:cs="宋体"/>
                <w:bCs/>
                <w:sz w:val="18"/>
                <w:szCs w:val="18"/>
              </w:rPr>
            </w:pPr>
          </w:p>
        </w:tc>
      </w:tr>
      <w:tr w14:paraId="2B1C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209CAD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9A793C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BE85F5B">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428C5C4F">
            <w:pPr>
              <w:spacing w:line="440" w:lineRule="exact"/>
              <w:jc w:val="center"/>
              <w:rPr>
                <w:rFonts w:ascii="宋体" w:hAnsi="宋体" w:cs="宋体"/>
                <w:bCs/>
                <w:sz w:val="18"/>
                <w:szCs w:val="18"/>
              </w:rPr>
            </w:pPr>
          </w:p>
        </w:tc>
        <w:tc>
          <w:tcPr>
            <w:tcW w:w="1669" w:type="dxa"/>
            <w:shd w:val="clear" w:color="000000" w:fill="FFFFFF"/>
            <w:noWrap/>
            <w:vAlign w:val="center"/>
          </w:tcPr>
          <w:p w14:paraId="5BC6DC3C">
            <w:pPr>
              <w:widowControl/>
              <w:spacing w:line="440" w:lineRule="exact"/>
              <w:rPr>
                <w:rFonts w:ascii="宋体" w:hAnsi="宋体" w:cs="宋体"/>
                <w:bCs/>
                <w:sz w:val="18"/>
                <w:szCs w:val="18"/>
              </w:rPr>
            </w:pPr>
          </w:p>
        </w:tc>
      </w:tr>
    </w:tbl>
    <w:p w14:paraId="554F501C">
      <w:pPr>
        <w:spacing w:line="340" w:lineRule="exact"/>
        <w:rPr>
          <w:rFonts w:ascii="宋体"/>
          <w:sz w:val="30"/>
          <w:szCs w:val="30"/>
        </w:rPr>
      </w:pPr>
    </w:p>
    <w:p w14:paraId="5B0C11BD">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554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571001A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320ACD5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2FBFB6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301C764B">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3D1DD1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59689AF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C0A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4E2D4211">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725F713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85DA93C">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21BB941B">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930AF69">
            <w:pPr>
              <w:widowControl/>
              <w:spacing w:line="440" w:lineRule="exact"/>
              <w:rPr>
                <w:rFonts w:ascii="宋体" w:hAnsi="宋体" w:cs="宋体"/>
                <w:bCs/>
                <w:sz w:val="18"/>
                <w:szCs w:val="18"/>
              </w:rPr>
            </w:pPr>
          </w:p>
        </w:tc>
      </w:tr>
      <w:tr w14:paraId="2E8E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58D625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729C5BE1">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E90AC5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31811310">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654F0C2">
            <w:pPr>
              <w:widowControl/>
              <w:spacing w:line="440" w:lineRule="exact"/>
              <w:rPr>
                <w:rFonts w:ascii="宋体" w:hAnsi="宋体" w:cs="宋体"/>
                <w:bCs/>
                <w:sz w:val="18"/>
                <w:szCs w:val="18"/>
              </w:rPr>
            </w:pPr>
          </w:p>
        </w:tc>
      </w:tr>
      <w:tr w14:paraId="7DF1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F50E22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54E406F">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D380F0E">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516788C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49C3E58B">
            <w:pPr>
              <w:widowControl/>
              <w:spacing w:line="440" w:lineRule="exact"/>
              <w:rPr>
                <w:rFonts w:ascii="宋体" w:hAnsi="宋体" w:cs="宋体"/>
                <w:bCs/>
                <w:sz w:val="18"/>
                <w:szCs w:val="18"/>
              </w:rPr>
            </w:pPr>
          </w:p>
        </w:tc>
      </w:tr>
      <w:tr w14:paraId="7AE5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2E80B0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257B95C">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D2EA101">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554D4618">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0E4EE8A">
            <w:pPr>
              <w:widowControl/>
              <w:spacing w:line="440" w:lineRule="exact"/>
              <w:rPr>
                <w:rFonts w:ascii="宋体" w:hAnsi="宋体" w:cs="宋体"/>
                <w:bCs/>
                <w:sz w:val="18"/>
                <w:szCs w:val="18"/>
              </w:rPr>
            </w:pPr>
          </w:p>
        </w:tc>
      </w:tr>
      <w:tr w14:paraId="386F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2AAF5C64">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275D4AC">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D21701E">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6378464">
            <w:pPr>
              <w:spacing w:line="440" w:lineRule="exact"/>
              <w:jc w:val="center"/>
              <w:rPr>
                <w:rFonts w:ascii="宋体" w:hAnsi="宋体" w:cs="宋体"/>
                <w:bCs/>
                <w:sz w:val="18"/>
                <w:szCs w:val="18"/>
              </w:rPr>
            </w:pPr>
          </w:p>
        </w:tc>
        <w:tc>
          <w:tcPr>
            <w:tcW w:w="1669" w:type="dxa"/>
            <w:shd w:val="clear" w:color="000000" w:fill="FFFFFF"/>
            <w:noWrap/>
            <w:vAlign w:val="center"/>
          </w:tcPr>
          <w:p w14:paraId="507E7B9F">
            <w:pPr>
              <w:widowControl/>
              <w:spacing w:line="440" w:lineRule="exact"/>
              <w:rPr>
                <w:rFonts w:ascii="宋体" w:hAnsi="宋体" w:cs="宋体"/>
                <w:bCs/>
                <w:sz w:val="18"/>
                <w:szCs w:val="18"/>
              </w:rPr>
            </w:pPr>
          </w:p>
        </w:tc>
      </w:tr>
      <w:tr w14:paraId="5076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6A2002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60EC31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209B9BB">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22A77A95">
            <w:pPr>
              <w:spacing w:line="440" w:lineRule="exact"/>
              <w:jc w:val="center"/>
              <w:rPr>
                <w:rFonts w:ascii="宋体" w:hAnsi="宋体" w:cs="宋体"/>
                <w:bCs/>
                <w:sz w:val="18"/>
                <w:szCs w:val="18"/>
              </w:rPr>
            </w:pPr>
          </w:p>
        </w:tc>
        <w:tc>
          <w:tcPr>
            <w:tcW w:w="1669" w:type="dxa"/>
            <w:shd w:val="clear" w:color="000000" w:fill="FFFFFF"/>
            <w:noWrap/>
            <w:vAlign w:val="center"/>
          </w:tcPr>
          <w:p w14:paraId="53EB73B6">
            <w:pPr>
              <w:widowControl/>
              <w:spacing w:line="440" w:lineRule="exact"/>
              <w:rPr>
                <w:rFonts w:ascii="宋体" w:hAnsi="宋体" w:cs="宋体"/>
                <w:bCs/>
                <w:sz w:val="18"/>
                <w:szCs w:val="18"/>
              </w:rPr>
            </w:pPr>
          </w:p>
        </w:tc>
      </w:tr>
      <w:tr w14:paraId="63A2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372D742">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99AF93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15E4C8E">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FEFF32B">
            <w:pPr>
              <w:spacing w:line="440" w:lineRule="exact"/>
              <w:jc w:val="center"/>
              <w:rPr>
                <w:rFonts w:ascii="宋体" w:hAnsi="宋体" w:cs="宋体"/>
                <w:bCs/>
                <w:sz w:val="18"/>
                <w:szCs w:val="18"/>
              </w:rPr>
            </w:pPr>
          </w:p>
        </w:tc>
        <w:tc>
          <w:tcPr>
            <w:tcW w:w="1669" w:type="dxa"/>
            <w:shd w:val="clear" w:color="000000" w:fill="FFFFFF"/>
            <w:noWrap/>
            <w:vAlign w:val="center"/>
          </w:tcPr>
          <w:p w14:paraId="4F7C369D">
            <w:pPr>
              <w:widowControl/>
              <w:spacing w:line="440" w:lineRule="exact"/>
              <w:rPr>
                <w:rFonts w:ascii="宋体" w:hAnsi="宋体" w:cs="宋体"/>
                <w:bCs/>
                <w:sz w:val="18"/>
                <w:szCs w:val="18"/>
              </w:rPr>
            </w:pPr>
          </w:p>
        </w:tc>
      </w:tr>
    </w:tbl>
    <w:p w14:paraId="18F151AF">
      <w:pPr>
        <w:tabs>
          <w:tab w:val="left" w:pos="720"/>
        </w:tabs>
        <w:spacing w:line="340" w:lineRule="exact"/>
        <w:jc w:val="left"/>
        <w:rPr>
          <w:rFonts w:ascii="宋体" w:hAnsi="宋体"/>
          <w:b/>
          <w:bCs/>
          <w:sz w:val="30"/>
          <w:szCs w:val="30"/>
        </w:rPr>
      </w:pPr>
    </w:p>
    <w:p w14:paraId="4625DEF2">
      <w:pPr>
        <w:spacing w:line="440" w:lineRule="exact"/>
        <w:rPr>
          <w:rFonts w:ascii="宋体" w:hAnsi="宋体"/>
          <w:sz w:val="24"/>
        </w:rPr>
      </w:pPr>
    </w:p>
    <w:p w14:paraId="448D6AE7">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004AFABC">
      <w:pPr>
        <w:numPr>
          <w:ilvl w:val="0"/>
          <w:numId w:val="0"/>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kern w:val="2"/>
          <w:sz w:val="24"/>
          <w:szCs w:val="24"/>
          <w:lang w:val="en-US" w:eastAsia="zh-CN" w:bidi="ar-SA"/>
        </w:rPr>
        <w:t>一、</w:t>
      </w:r>
      <w:r>
        <w:rPr>
          <w:rFonts w:hint="eastAsia" w:ascii="仿宋" w:hAnsi="仿宋" w:eastAsia="仿宋" w:cs="仿宋"/>
          <w:b/>
          <w:color w:val="000000" w:themeColor="text1"/>
          <w:sz w:val="24"/>
        </w:rPr>
        <w:t>总则：</w:t>
      </w:r>
    </w:p>
    <w:p w14:paraId="5781B7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66840C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0889CD6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14:paraId="299A1B0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4.本文的“质保期”是指中标标的物经约定的验收机构完成验收之日起算，截止中标人承诺的期限。</w:t>
      </w:r>
    </w:p>
    <w:p w14:paraId="180C7666">
      <w:pPr>
        <w:numPr>
          <w:ilvl w:val="0"/>
          <w:numId w:val="0"/>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kern w:val="2"/>
          <w:sz w:val="24"/>
          <w:szCs w:val="24"/>
          <w:lang w:val="en-US" w:eastAsia="zh-CN" w:bidi="ar-SA"/>
        </w:rPr>
        <w:t>二、</w:t>
      </w: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2268"/>
        <w:gridCol w:w="2508"/>
      </w:tblGrid>
      <w:tr w14:paraId="3794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3126F5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3E96D72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3BC960D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024C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90417B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转运监护仪</w:t>
            </w:r>
          </w:p>
        </w:tc>
        <w:tc>
          <w:tcPr>
            <w:tcW w:w="2268" w:type="dxa"/>
          </w:tcPr>
          <w:p w14:paraId="5D0EECB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麻醉科</w:t>
            </w:r>
          </w:p>
        </w:tc>
        <w:tc>
          <w:tcPr>
            <w:tcW w:w="2508" w:type="dxa"/>
          </w:tcPr>
          <w:p w14:paraId="209B565C">
            <w:pPr>
              <w:spacing w:line="440" w:lineRule="exact"/>
              <w:rPr>
                <w:rFonts w:ascii="仿宋" w:hAnsi="仿宋" w:eastAsia="仿宋" w:cs="仿宋"/>
                <w:color w:val="000000" w:themeColor="text1"/>
                <w:sz w:val="24"/>
              </w:rPr>
            </w:pPr>
            <w:r>
              <w:rPr>
                <w:rFonts w:ascii="仿宋" w:hAnsi="仿宋" w:eastAsia="仿宋" w:cs="仿宋"/>
                <w:color w:val="000000" w:themeColor="text1"/>
                <w:sz w:val="24"/>
              </w:rPr>
              <w:t>2</w:t>
            </w:r>
          </w:p>
        </w:tc>
      </w:tr>
    </w:tbl>
    <w:p w14:paraId="00F63C36">
      <w:pPr>
        <w:spacing w:line="440" w:lineRule="exact"/>
        <w:rPr>
          <w:rFonts w:ascii="仿宋" w:hAnsi="仿宋" w:eastAsia="仿宋" w:cs="仿宋"/>
          <w:color w:val="000000" w:themeColor="text1"/>
          <w:sz w:val="24"/>
        </w:rPr>
      </w:pPr>
    </w:p>
    <w:p w14:paraId="01709FF0">
      <w:pPr>
        <w:spacing w:line="440" w:lineRule="exact"/>
        <w:rPr>
          <w:rFonts w:ascii="仿宋" w:hAnsi="仿宋" w:eastAsia="仿宋" w:cs="仿宋"/>
          <w:b/>
          <w:color w:val="000000" w:themeColor="text1"/>
          <w:sz w:val="24"/>
        </w:rPr>
      </w:pPr>
      <w:r>
        <w:rPr>
          <w:rFonts w:hint="eastAsia" w:ascii="仿宋" w:hAnsi="仿宋" w:eastAsia="仿宋" w:cs="仿宋"/>
          <w:color w:val="000000" w:themeColor="text1"/>
          <w:sz w:val="24"/>
        </w:rPr>
        <w:t>用途：其主要的作用是监测患者生命体征。</w:t>
      </w:r>
    </w:p>
    <w:p w14:paraId="58B47621">
      <w:pPr>
        <w:numPr>
          <w:ilvl w:val="0"/>
          <w:numId w:val="0"/>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kern w:val="2"/>
          <w:sz w:val="24"/>
          <w:szCs w:val="24"/>
          <w:lang w:val="en-US" w:eastAsia="zh-CN" w:bidi="ar-SA"/>
        </w:rPr>
        <w:t>三、</w:t>
      </w:r>
      <w:r>
        <w:rPr>
          <w:rFonts w:hint="eastAsia" w:ascii="仿宋" w:hAnsi="仿宋" w:eastAsia="仿宋" w:cs="仿宋"/>
          <w:b/>
          <w:color w:val="000000" w:themeColor="text1"/>
          <w:sz w:val="24"/>
        </w:rPr>
        <w:t>技术参数：</w:t>
      </w:r>
      <w:bookmarkStart w:id="0" w:name="_GoBack"/>
      <w:bookmarkEnd w:id="0"/>
    </w:p>
    <w:p w14:paraId="0E4DF0B3">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sym w:font="Wingdings 3" w:char="F070"/>
      </w:r>
      <w:r>
        <w:rPr>
          <w:rFonts w:hint="eastAsia" w:ascii="仿宋" w:hAnsi="仿宋" w:eastAsia="仿宋" w:cs="仿宋"/>
          <w:color w:val="000000" w:themeColor="text1"/>
          <w:sz w:val="24"/>
        </w:rPr>
        <w:t>配置</w:t>
      </w:r>
      <w:r>
        <w:rPr>
          <w:rFonts w:hint="eastAsia" w:ascii="仿宋" w:hAnsi="仿宋" w:eastAsia="仿宋" w:cs="仿宋"/>
          <w:color w:val="000000" w:themeColor="text1"/>
          <w:sz w:val="24"/>
          <w:lang w:val="en-US" w:eastAsia="zh-CN"/>
        </w:rPr>
        <w:t>≥</w:t>
      </w:r>
      <w:r>
        <w:rPr>
          <w:rFonts w:ascii="仿宋" w:hAnsi="仿宋" w:eastAsia="仿宋" w:cs="仿宋"/>
          <w:color w:val="000000" w:themeColor="text1"/>
          <w:sz w:val="24"/>
        </w:rPr>
        <w:t>5.5</w:t>
      </w:r>
      <w:r>
        <w:rPr>
          <w:rFonts w:hint="eastAsia" w:ascii="仿宋" w:hAnsi="仿宋" w:eastAsia="仿宋" w:cs="仿宋"/>
          <w:color w:val="000000" w:themeColor="text1"/>
          <w:sz w:val="24"/>
        </w:rPr>
        <w:t>英寸彩色触摸电容</w:t>
      </w:r>
      <w:r>
        <w:rPr>
          <w:rFonts w:ascii="仿宋" w:hAnsi="仿宋" w:eastAsia="仿宋" w:cs="仿宋"/>
          <w:color w:val="000000" w:themeColor="text1"/>
          <w:sz w:val="24"/>
        </w:rPr>
        <w:t>显示屏</w:t>
      </w:r>
      <w:r>
        <w:rPr>
          <w:rFonts w:hint="eastAsia" w:ascii="仿宋" w:hAnsi="仿宋" w:eastAsia="仿宋" w:cs="仿宋"/>
          <w:color w:val="000000" w:themeColor="text1"/>
          <w:sz w:val="24"/>
        </w:rPr>
        <w:t>。</w:t>
      </w:r>
    </w:p>
    <w:p w14:paraId="5F17BE25">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整机重量不大于1Kg，小巧便携</w:t>
      </w:r>
    </w:p>
    <w:p w14:paraId="2CE67758">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IP44</w:t>
      </w:r>
      <w:r>
        <w:rPr>
          <w:rFonts w:ascii="仿宋" w:hAnsi="仿宋" w:eastAsia="仿宋" w:cs="仿宋"/>
          <w:color w:val="000000" w:themeColor="text1"/>
          <w:sz w:val="24"/>
        </w:rPr>
        <w:t>防尘防水，</w:t>
      </w:r>
      <w:r>
        <w:rPr>
          <w:rFonts w:hint="eastAsia" w:ascii="仿宋" w:hAnsi="仿宋" w:eastAsia="仿宋" w:cs="仿宋"/>
          <w:color w:val="000000" w:themeColor="text1"/>
          <w:sz w:val="24"/>
        </w:rPr>
        <w:t>易</w:t>
      </w:r>
      <w:r>
        <w:rPr>
          <w:rFonts w:ascii="仿宋" w:hAnsi="仿宋" w:eastAsia="仿宋" w:cs="仿宋"/>
          <w:color w:val="000000" w:themeColor="text1"/>
          <w:sz w:val="24"/>
        </w:rPr>
        <w:t>清洁</w:t>
      </w:r>
      <w:r>
        <w:rPr>
          <w:rFonts w:hint="eastAsia" w:ascii="仿宋" w:hAnsi="仿宋" w:eastAsia="仿宋" w:cs="仿宋"/>
          <w:color w:val="000000" w:themeColor="text1"/>
          <w:sz w:val="24"/>
        </w:rPr>
        <w:t>和适用医院内外不同临床救治环境。</w:t>
      </w:r>
    </w:p>
    <w:p w14:paraId="207D4602">
      <w:pPr>
        <w:pStyle w:val="12"/>
        <w:numPr>
          <w:ilvl w:val="0"/>
          <w:numId w:val="4"/>
        </w:numPr>
        <w:spacing w:line="360" w:lineRule="auto"/>
        <w:ind w:firstLineChars="0"/>
        <w:rPr>
          <w:rFonts w:ascii="仿宋" w:hAnsi="仿宋" w:eastAsia="仿宋" w:cs="仿宋"/>
          <w:color w:val="000000" w:themeColor="text1"/>
          <w:sz w:val="24"/>
        </w:rPr>
      </w:pPr>
      <w:r>
        <w:rPr>
          <w:rFonts w:ascii="仿宋" w:hAnsi="仿宋" w:eastAsia="仿宋" w:cs="仿宋"/>
          <w:color w:val="000000" w:themeColor="text1"/>
          <w:sz w:val="24"/>
        </w:rPr>
        <w:t>坚固耐用，抗</w:t>
      </w:r>
      <w:r>
        <w:rPr>
          <w:rFonts w:hint="eastAsia" w:ascii="仿宋" w:hAnsi="仿宋" w:eastAsia="仿宋" w:cs="仿宋"/>
          <w:color w:val="000000" w:themeColor="text1"/>
          <w:sz w:val="24"/>
        </w:rPr>
        <w:t>1.2米6面</w:t>
      </w:r>
      <w:r>
        <w:rPr>
          <w:rFonts w:ascii="仿宋" w:hAnsi="仿宋" w:eastAsia="仿宋" w:cs="仿宋"/>
          <w:color w:val="000000" w:themeColor="text1"/>
          <w:sz w:val="24"/>
        </w:rPr>
        <w:t>跌落，</w:t>
      </w:r>
      <w:r>
        <w:rPr>
          <w:rFonts w:hint="eastAsia" w:ascii="仿宋" w:hAnsi="仿宋" w:eastAsia="仿宋" w:cs="仿宋"/>
          <w:color w:val="000000" w:themeColor="text1"/>
          <w:sz w:val="24"/>
        </w:rPr>
        <w:t>满足转运过程中的复杂临床救治环境。</w:t>
      </w:r>
    </w:p>
    <w:p w14:paraId="19D404A8">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sym w:font="Wingdings 3" w:char="F070"/>
      </w:r>
      <w:r>
        <w:rPr>
          <w:rFonts w:hint="eastAsia" w:ascii="仿宋" w:hAnsi="仿宋" w:eastAsia="仿宋" w:cs="仿宋"/>
          <w:color w:val="000000" w:themeColor="text1"/>
          <w:sz w:val="24"/>
        </w:rPr>
        <w:t>内置锂电池供电，支持不少于5小时的持续监测。</w:t>
      </w:r>
    </w:p>
    <w:p w14:paraId="75C34EE3">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内置DC电源接口，可以进行车载充电。</w:t>
      </w:r>
    </w:p>
    <w:p w14:paraId="60B64619">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具备3/5导心电，阻抗呼吸，血氧、无创血压、2通道体温。</w:t>
      </w:r>
    </w:p>
    <w:p w14:paraId="4BAC1768">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支持2通道有创血压及</w:t>
      </w:r>
      <w:r>
        <w:rPr>
          <w:rFonts w:ascii="仿宋" w:hAnsi="仿宋" w:eastAsia="仿宋" w:cs="仿宋"/>
          <w:color w:val="000000" w:themeColor="text1"/>
          <w:sz w:val="24"/>
        </w:rPr>
        <w:t>模拟输出</w:t>
      </w:r>
      <w:r>
        <w:rPr>
          <w:rFonts w:hint="eastAsia" w:ascii="仿宋" w:hAnsi="仿宋" w:eastAsia="仿宋" w:cs="仿宋"/>
          <w:color w:val="000000" w:themeColor="text1"/>
          <w:sz w:val="24"/>
        </w:rPr>
        <w:t>/除颤</w:t>
      </w:r>
      <w:r>
        <w:rPr>
          <w:rFonts w:ascii="仿宋" w:hAnsi="仿宋" w:eastAsia="仿宋" w:cs="仿宋"/>
          <w:color w:val="000000" w:themeColor="text1"/>
          <w:sz w:val="24"/>
        </w:rPr>
        <w:t>同步</w:t>
      </w:r>
      <w:r>
        <w:rPr>
          <w:rFonts w:hint="eastAsia" w:ascii="仿宋" w:hAnsi="仿宋" w:eastAsia="仿宋" w:cs="仿宋"/>
          <w:color w:val="000000" w:themeColor="text1"/>
          <w:sz w:val="24"/>
        </w:rPr>
        <w:t xml:space="preserve">。 </w:t>
      </w:r>
    </w:p>
    <w:p w14:paraId="240AC0F5">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可选配外置主流、旁流、微流EtCO</w:t>
      </w:r>
      <w:r>
        <w:rPr>
          <w:rFonts w:ascii="仿宋" w:hAnsi="仿宋" w:eastAsia="仿宋" w:cs="仿宋"/>
          <w:color w:val="000000" w:themeColor="text1"/>
          <w:sz w:val="24"/>
        </w:rPr>
        <w:t>2</w:t>
      </w:r>
      <w:r>
        <w:rPr>
          <w:rFonts w:hint="eastAsia" w:ascii="仿宋" w:hAnsi="仿宋" w:eastAsia="仿宋" w:cs="仿宋"/>
          <w:color w:val="000000" w:themeColor="text1"/>
          <w:sz w:val="24"/>
        </w:rPr>
        <w:t>监测模块</w:t>
      </w:r>
    </w:p>
    <w:p w14:paraId="4B99381E">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可具备微创连续血流动力学监测模块，非无创电阻抗法，具有更好的监测准确性，可采用</w:t>
      </w:r>
      <w:r>
        <w:rPr>
          <w:rFonts w:ascii="仿宋" w:hAnsi="仿宋" w:eastAsia="仿宋" w:cs="仿宋"/>
          <w:color w:val="000000" w:themeColor="text1"/>
          <w:sz w:val="24"/>
        </w:rPr>
        <w:t>PiCCO或类似技术，实现CCO连续心排量、SVV每搏变异量等血液动力学监测参数，直观观察病人的变化情况，须提供所售监护仪注册证和说明书证明已具备该功能</w:t>
      </w:r>
    </w:p>
    <w:p w14:paraId="4447FE8C">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支持提供EWS早期预警评分工具，包括NEWS、NEWS</w:t>
      </w:r>
      <w:r>
        <w:rPr>
          <w:rFonts w:ascii="仿宋" w:hAnsi="仿宋" w:eastAsia="仿宋" w:cs="仿宋"/>
          <w:color w:val="000000" w:themeColor="text1"/>
          <w:sz w:val="24"/>
        </w:rPr>
        <w:t>2</w:t>
      </w:r>
      <w:r>
        <w:rPr>
          <w:rFonts w:hint="eastAsia" w:ascii="仿宋" w:hAnsi="仿宋" w:eastAsia="仿宋" w:cs="仿宋"/>
          <w:color w:val="000000" w:themeColor="text1"/>
          <w:sz w:val="24"/>
        </w:rPr>
        <w:t>和MEWS，可支持定时自动EWS评分功能，支持动态刷新EWS和EWS报警。</w:t>
      </w:r>
    </w:p>
    <w:p w14:paraId="18FD2CE9">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转运监护仪支持插入床旁监护仪任意模块插槽作为参数模块使用，即插即用。</w:t>
      </w:r>
    </w:p>
    <w:p w14:paraId="43B09746">
      <w:pPr>
        <w:pStyle w:val="12"/>
        <w:numPr>
          <w:ilvl w:val="0"/>
          <w:numId w:val="4"/>
        </w:numPr>
        <w:spacing w:line="360" w:lineRule="auto"/>
        <w:ind w:firstLineChars="0"/>
        <w:rPr>
          <w:rFonts w:ascii="仿宋" w:hAnsi="仿宋" w:eastAsia="仿宋" w:cs="仿宋"/>
          <w:color w:val="000000" w:themeColor="text1"/>
          <w:sz w:val="24"/>
        </w:rPr>
      </w:pPr>
      <w:r>
        <w:rPr>
          <w:rFonts w:ascii="仿宋" w:hAnsi="仿宋" w:eastAsia="仿宋" w:cs="仿宋"/>
          <w:color w:val="000000" w:themeColor="text1"/>
          <w:sz w:val="24"/>
        </w:rPr>
        <w:t>心电支持≥3个分析导联实时动态同步分析，并非多个导联波形同屏显示及12导联静息分析</w:t>
      </w:r>
      <w:r>
        <w:rPr>
          <w:rFonts w:hint="eastAsia" w:ascii="仿宋" w:hAnsi="仿宋" w:eastAsia="仿宋" w:cs="仿宋"/>
          <w:color w:val="000000" w:themeColor="text1"/>
          <w:sz w:val="24"/>
        </w:rPr>
        <w:t>。</w:t>
      </w:r>
    </w:p>
    <w:p w14:paraId="68A82DD9">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心率测量范围：成人15 -300 bpm，小儿/新生儿15 - 350 bpm。</w:t>
      </w:r>
    </w:p>
    <w:p w14:paraId="16F3BA5F">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波速提供50mm/s，25 mm/s、12.5 mm/s、6.25 mm/s可选。</w:t>
      </w:r>
    </w:p>
    <w:p w14:paraId="1F418E81">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滤波模式提供诊断模式（0.05 -150Hz），监护模式（0.5 -40Hz），ST模式（0.05 - 40Hz），手术模式（1-20Hz）。</w:t>
      </w:r>
    </w:p>
    <w:p w14:paraId="3104A2FC">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sym w:font="Wingdings 3" w:char="F070"/>
      </w:r>
      <w:r>
        <w:rPr>
          <w:rFonts w:hint="eastAsia" w:ascii="仿宋" w:hAnsi="仿宋" w:eastAsia="仿宋" w:cs="仿宋"/>
          <w:color w:val="000000" w:themeColor="text1"/>
          <w:sz w:val="24"/>
        </w:rPr>
        <w:t>支持室上性心动过速和</w:t>
      </w:r>
      <w:r>
        <w:rPr>
          <w:rFonts w:ascii="仿宋" w:hAnsi="仿宋" w:eastAsia="仿宋" w:cs="仿宋"/>
          <w:color w:val="000000" w:themeColor="text1"/>
          <w:sz w:val="24"/>
        </w:rPr>
        <w:t>SVCs/min等室上性心律失常分析</w:t>
      </w:r>
      <w:r>
        <w:rPr>
          <w:rFonts w:hint="eastAsia" w:ascii="仿宋" w:hAnsi="仿宋" w:eastAsia="仿宋" w:cs="仿宋"/>
          <w:color w:val="000000" w:themeColor="text1"/>
          <w:sz w:val="24"/>
        </w:rPr>
        <w:t>。</w:t>
      </w:r>
    </w:p>
    <w:p w14:paraId="19ED7943">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提供ST段分析，提供显示和存储ST值和每个ST的模板。</w:t>
      </w:r>
    </w:p>
    <w:p w14:paraId="4651BF67">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具有QT/QTc测量功能，提供QT，QTc和ΔQTc参数值，</w:t>
      </w:r>
      <w:r>
        <w:rPr>
          <w:rFonts w:ascii="仿宋" w:hAnsi="仿宋" w:eastAsia="仿宋" w:cs="仿宋"/>
          <w:color w:val="000000" w:themeColor="text1"/>
          <w:sz w:val="24"/>
        </w:rPr>
        <w:t>QT和QTc实时监测参数测量范围：200～800 ms</w:t>
      </w:r>
    </w:p>
    <w:p w14:paraId="4928B7DF">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可显示弱灌注指数（PI）。</w:t>
      </w:r>
    </w:p>
    <w:p w14:paraId="3A22BD9B">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sym w:font="Wingdings 3" w:char="F070"/>
      </w:r>
      <w:r>
        <w:rPr>
          <w:rFonts w:hint="eastAsia" w:ascii="仿宋" w:hAnsi="仿宋" w:eastAsia="仿宋" w:cs="仿宋"/>
          <w:color w:val="000000" w:themeColor="text1"/>
          <w:sz w:val="24"/>
        </w:rPr>
        <w:t>提供双通道体温和温差参数的监测, 并可根据需要更改体温通道标名。</w:t>
      </w:r>
    </w:p>
    <w:p w14:paraId="61D0A3BF">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提供手动、自动间隔、连续、序列和整点五种无创血压测量模式。</w:t>
      </w:r>
    </w:p>
    <w:p w14:paraId="1C26B852">
      <w:pPr>
        <w:pStyle w:val="12"/>
        <w:numPr>
          <w:ilvl w:val="0"/>
          <w:numId w:val="4"/>
        </w:numPr>
        <w:spacing w:line="360" w:lineRule="auto"/>
        <w:ind w:firstLineChars="0"/>
        <w:rPr>
          <w:rFonts w:ascii="仿宋" w:hAnsi="仿宋" w:eastAsia="仿宋" w:cs="仿宋"/>
          <w:color w:val="000000" w:themeColor="text1"/>
          <w:sz w:val="24"/>
        </w:rPr>
      </w:pPr>
      <w:r>
        <w:rPr>
          <w:rFonts w:hint="eastAsia" w:ascii="仿宋" w:hAnsi="仿宋" w:eastAsia="仿宋" w:cs="仿宋"/>
          <w:color w:val="000000" w:themeColor="text1"/>
          <w:sz w:val="24"/>
        </w:rPr>
        <w:t>IBP测量范围：-50 – 360 mmHg，支持实时PPV测量。</w:t>
      </w:r>
    </w:p>
    <w:p w14:paraId="6DE892A0">
      <w:pPr>
        <w:pStyle w:val="12"/>
        <w:numPr>
          <w:ilvl w:val="0"/>
          <w:numId w:val="4"/>
        </w:numPr>
        <w:spacing w:line="360" w:lineRule="auto"/>
        <w:ind w:firstLineChars="0"/>
        <w:rPr>
          <w:rFonts w:hint="eastAsia" w:ascii="仿宋" w:hAnsi="仿宋" w:eastAsia="仿宋" w:cs="仿宋"/>
          <w:color w:val="000000" w:themeColor="text1"/>
          <w:sz w:val="24"/>
        </w:rPr>
      </w:pPr>
      <w:r>
        <w:rPr>
          <w:rFonts w:hint="eastAsia" w:ascii="仿宋" w:hAnsi="仿宋" w:eastAsia="仿宋" w:cs="仿宋"/>
          <w:color w:val="000000" w:themeColor="text1"/>
          <w:sz w:val="24"/>
        </w:rPr>
        <w:t>具备不少于</w:t>
      </w:r>
      <w:r>
        <w:rPr>
          <w:rFonts w:ascii="仿宋" w:hAnsi="仿宋" w:eastAsia="仿宋" w:cs="仿宋"/>
          <w:color w:val="000000" w:themeColor="text1"/>
          <w:sz w:val="24"/>
        </w:rPr>
        <w:t>800</w:t>
      </w:r>
      <w:r>
        <w:rPr>
          <w:rFonts w:hint="eastAsia" w:ascii="仿宋" w:hAnsi="仿宋" w:eastAsia="仿宋" w:cs="仿宋"/>
          <w:color w:val="000000" w:themeColor="text1"/>
          <w:sz w:val="24"/>
        </w:rPr>
        <w:t>条事件回顾，</w:t>
      </w:r>
      <w:r>
        <w:rPr>
          <w:rFonts w:ascii="仿宋" w:hAnsi="仿宋" w:eastAsia="仿宋" w:cs="仿宋"/>
          <w:color w:val="000000" w:themeColor="text1"/>
          <w:sz w:val="24"/>
        </w:rPr>
        <w:t>800</w:t>
      </w:r>
      <w:r>
        <w:rPr>
          <w:rFonts w:hint="eastAsia" w:ascii="仿宋" w:hAnsi="仿宋" w:eastAsia="仿宋" w:cs="仿宋"/>
          <w:color w:val="000000" w:themeColor="text1"/>
          <w:sz w:val="24"/>
        </w:rPr>
        <w:t>条NIBP测量结果回顾，4</w:t>
      </w:r>
      <w:r>
        <w:rPr>
          <w:rFonts w:ascii="仿宋" w:hAnsi="仿宋" w:eastAsia="仿宋" w:cs="仿宋"/>
          <w:color w:val="000000" w:themeColor="text1"/>
          <w:sz w:val="24"/>
        </w:rPr>
        <w:t>0</w:t>
      </w:r>
      <w:r>
        <w:rPr>
          <w:rFonts w:hint="eastAsia" w:ascii="仿宋" w:hAnsi="仿宋" w:eastAsia="仿宋" w:cs="仿宋"/>
          <w:color w:val="000000" w:themeColor="text1"/>
          <w:sz w:val="24"/>
        </w:rPr>
        <w:t>小时全息波形回顾，1</w:t>
      </w:r>
      <w:r>
        <w:rPr>
          <w:rFonts w:ascii="仿宋" w:hAnsi="仿宋" w:eastAsia="仿宋" w:cs="仿宋"/>
          <w:color w:val="000000" w:themeColor="text1"/>
          <w:sz w:val="24"/>
        </w:rPr>
        <w:t>00</w:t>
      </w:r>
      <w:r>
        <w:rPr>
          <w:rFonts w:hint="eastAsia" w:ascii="仿宋" w:hAnsi="仿宋" w:eastAsia="仿宋" w:cs="仿宋"/>
          <w:color w:val="000000" w:themeColor="text1"/>
          <w:sz w:val="24"/>
        </w:rPr>
        <w:t>小时趋势数据回顾。</w:t>
      </w:r>
    </w:p>
    <w:p w14:paraId="7B244654">
      <w:pPr>
        <w:numPr>
          <w:ilvl w:val="0"/>
          <w:numId w:val="4"/>
        </w:numPr>
        <w:spacing w:line="440" w:lineRule="exact"/>
        <w:rPr>
          <w:rFonts w:ascii="仿宋" w:hAnsi="仿宋" w:eastAsia="仿宋" w:cs="Times New Roman"/>
          <w:sz w:val="24"/>
        </w:rPr>
      </w:pPr>
      <w:r>
        <w:rPr>
          <w:rFonts w:hint="eastAsia" w:ascii="仿宋" w:hAnsi="仿宋" w:eastAsia="仿宋" w:cs="仿宋"/>
          <w:color w:val="000000" w:themeColor="text1"/>
          <w:sz w:val="24"/>
        </w:rPr>
        <w:t>★</w:t>
      </w:r>
      <w:r>
        <w:rPr>
          <w:rFonts w:hint="eastAsia" w:ascii="仿宋" w:hAnsi="仿宋" w:eastAsia="仿宋" w:cs="Times New Roman"/>
          <w:sz w:val="24"/>
          <w:lang w:val="en-US" w:eastAsia="zh-CN"/>
        </w:rPr>
        <w:t>设备使用年限≥5年。</w:t>
      </w:r>
    </w:p>
    <w:p w14:paraId="2AC2AC81">
      <w:pPr>
        <w:pStyle w:val="12"/>
        <w:numPr>
          <w:ilvl w:val="0"/>
          <w:numId w:val="0"/>
        </w:numPr>
        <w:spacing w:line="360" w:lineRule="auto"/>
        <w:ind w:leftChars="0"/>
        <w:rPr>
          <w:rFonts w:hint="eastAsia" w:ascii="仿宋" w:hAnsi="仿宋" w:eastAsia="仿宋" w:cs="仿宋"/>
          <w:color w:val="000000" w:themeColor="text1"/>
          <w:sz w:val="24"/>
        </w:rPr>
      </w:pPr>
    </w:p>
    <w:p w14:paraId="2E3D464D">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lang w:val="en-US" w:eastAsia="zh-CN"/>
        </w:rPr>
        <w:t>四、</w:t>
      </w:r>
      <w:r>
        <w:rPr>
          <w:rFonts w:hint="eastAsia" w:ascii="仿宋" w:hAnsi="仿宋" w:eastAsia="仿宋" w:cs="仿宋"/>
          <w:b/>
          <w:color w:val="000000" w:themeColor="text1"/>
          <w:sz w:val="24"/>
        </w:rPr>
        <w:t>每套设备配置要求：</w:t>
      </w:r>
      <w:r>
        <w:rPr>
          <w:rFonts w:ascii="仿宋" w:hAnsi="仿宋" w:eastAsia="仿宋" w:cs="仿宋"/>
          <w:b/>
          <w:color w:val="000000" w:themeColor="text1"/>
          <w:sz w:val="24"/>
        </w:rPr>
        <w:t xml:space="preserve"> </w:t>
      </w:r>
    </w:p>
    <w:tbl>
      <w:tblPr>
        <w:tblStyle w:val="10"/>
        <w:tblW w:w="84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4996"/>
        <w:gridCol w:w="1223"/>
        <w:gridCol w:w="1246"/>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4996"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1223"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1246"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66CBA77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4996" w:type="dxa"/>
            <w:shd w:val="clear" w:color="auto" w:fill="FFFFFF" w:themeFill="background1"/>
            <w:vAlign w:val="top"/>
          </w:tcPr>
          <w:p w14:paraId="42ECF333">
            <w:pPr>
              <w:tabs>
                <w:tab w:val="left" w:pos="1256"/>
              </w:tabs>
              <w:spacing w:line="500" w:lineRule="exact"/>
              <w:jc w:val="left"/>
              <w:rPr>
                <w:rFonts w:ascii="华文仿宋" w:hAnsi="华文仿宋" w:eastAsia="华文仿宋" w:cstheme="minorBidi"/>
                <w:kern w:val="0"/>
                <w:sz w:val="24"/>
                <w:szCs w:val="28"/>
                <w:lang w:val="en-US" w:eastAsia="zh-CN" w:bidi="ar-SA"/>
              </w:rPr>
            </w:pPr>
            <w:r>
              <w:rPr>
                <w:rFonts w:hint="eastAsia" w:ascii="华文仿宋" w:hAnsi="华文仿宋" w:eastAsia="华文仿宋"/>
                <w:sz w:val="24"/>
                <w:szCs w:val="28"/>
              </w:rPr>
              <w:t>主机</w:t>
            </w:r>
          </w:p>
        </w:tc>
        <w:tc>
          <w:tcPr>
            <w:tcW w:w="1223" w:type="dxa"/>
          </w:tcPr>
          <w:p w14:paraId="73DFF0D8">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76FEFD8C">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台</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66006D2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4996" w:type="dxa"/>
            <w:shd w:val="clear" w:color="auto" w:fill="FFFFFF" w:themeFill="background1"/>
            <w:vAlign w:val="top"/>
          </w:tcPr>
          <w:p w14:paraId="31B63238">
            <w:pPr>
              <w:tabs>
                <w:tab w:val="left" w:pos="1256"/>
              </w:tabs>
              <w:spacing w:line="500" w:lineRule="exact"/>
              <w:jc w:val="left"/>
              <w:rPr>
                <w:rFonts w:ascii="华文仿宋" w:hAnsi="华文仿宋" w:eastAsia="华文仿宋" w:cstheme="minorBidi"/>
                <w:kern w:val="0"/>
                <w:sz w:val="24"/>
                <w:szCs w:val="28"/>
                <w:lang w:val="en-US" w:eastAsia="zh-CN" w:bidi="ar-SA"/>
              </w:rPr>
            </w:pPr>
            <w:r>
              <w:rPr>
                <w:rFonts w:hint="eastAsia" w:ascii="华文仿宋" w:hAnsi="华文仿宋" w:eastAsia="华文仿宋"/>
                <w:sz w:val="24"/>
                <w:szCs w:val="28"/>
              </w:rPr>
              <w:t>电源线</w:t>
            </w:r>
          </w:p>
        </w:tc>
        <w:tc>
          <w:tcPr>
            <w:tcW w:w="1223" w:type="dxa"/>
          </w:tcPr>
          <w:p w14:paraId="358E2F02">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6F4FDCA0">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根</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6A4A41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4996" w:type="dxa"/>
            <w:shd w:val="clear" w:color="auto" w:fill="FFFFFF" w:themeFill="background1"/>
            <w:vAlign w:val="top"/>
          </w:tcPr>
          <w:p w14:paraId="05C551DB">
            <w:pPr>
              <w:tabs>
                <w:tab w:val="left" w:pos="1256"/>
              </w:tabs>
              <w:spacing w:line="500" w:lineRule="exact"/>
              <w:jc w:val="left"/>
              <w:rPr>
                <w:rFonts w:ascii="华文仿宋" w:hAnsi="华文仿宋" w:eastAsia="华文仿宋" w:cstheme="minorBidi"/>
                <w:kern w:val="0"/>
                <w:sz w:val="24"/>
                <w:szCs w:val="28"/>
                <w:lang w:val="en-US" w:eastAsia="zh-CN" w:bidi="ar-SA"/>
              </w:rPr>
            </w:pPr>
            <w:r>
              <w:rPr>
                <w:rFonts w:hint="eastAsia" w:ascii="华文仿宋" w:hAnsi="华文仿宋" w:eastAsia="华文仿宋"/>
                <w:sz w:val="24"/>
                <w:szCs w:val="28"/>
              </w:rPr>
              <w:t>12针5导心电导联线</w:t>
            </w:r>
          </w:p>
        </w:tc>
        <w:tc>
          <w:tcPr>
            <w:tcW w:w="1223" w:type="dxa"/>
          </w:tcPr>
          <w:p w14:paraId="7F33DB8D">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76CE4BBF">
            <w:pPr>
              <w:spacing w:line="440" w:lineRule="exact"/>
              <w:jc w:val="center"/>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套</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65454EC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4996" w:type="dxa"/>
            <w:shd w:val="clear" w:color="auto" w:fill="FFFFFF" w:themeFill="background1"/>
            <w:vAlign w:val="top"/>
          </w:tcPr>
          <w:p w14:paraId="48023CE1">
            <w:pPr>
              <w:tabs>
                <w:tab w:val="left" w:pos="1256"/>
              </w:tabs>
              <w:spacing w:line="500" w:lineRule="exact"/>
              <w:jc w:val="left"/>
              <w:rPr>
                <w:rFonts w:ascii="华文仿宋" w:hAnsi="华文仿宋" w:eastAsia="华文仿宋" w:cstheme="minorBidi"/>
                <w:kern w:val="0"/>
                <w:sz w:val="24"/>
                <w:szCs w:val="28"/>
                <w:lang w:val="en-US" w:eastAsia="zh-CN" w:bidi="ar-SA"/>
              </w:rPr>
            </w:pPr>
            <w:r>
              <w:rPr>
                <w:rFonts w:hint="eastAsia" w:ascii="华文仿宋" w:hAnsi="华文仿宋" w:eastAsia="华文仿宋"/>
                <w:sz w:val="24"/>
                <w:szCs w:val="28"/>
              </w:rPr>
              <w:t>心电电极5片装</w:t>
            </w:r>
          </w:p>
        </w:tc>
        <w:tc>
          <w:tcPr>
            <w:tcW w:w="1223" w:type="dxa"/>
          </w:tcPr>
          <w:p w14:paraId="79422489">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69088D6D">
            <w:pPr>
              <w:spacing w:line="440" w:lineRule="exact"/>
              <w:jc w:val="center"/>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套</w:t>
            </w:r>
          </w:p>
        </w:tc>
      </w:tr>
      <w:tr w14:paraId="6D8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48845BD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4996" w:type="dxa"/>
            <w:shd w:val="clear" w:color="auto" w:fill="FFFFFF" w:themeFill="background1"/>
            <w:vAlign w:val="top"/>
          </w:tcPr>
          <w:p w14:paraId="7C40CED3">
            <w:pPr>
              <w:tabs>
                <w:tab w:val="left" w:pos="1256"/>
              </w:tabs>
              <w:spacing w:line="500" w:lineRule="exact"/>
              <w:jc w:val="left"/>
              <w:rPr>
                <w:rFonts w:ascii="华文仿宋" w:hAnsi="华文仿宋" w:eastAsia="华文仿宋" w:cstheme="minorBidi"/>
                <w:kern w:val="2"/>
                <w:sz w:val="24"/>
                <w:szCs w:val="28"/>
                <w:lang w:val="en-US" w:eastAsia="zh-CN" w:bidi="ar-SA"/>
              </w:rPr>
            </w:pPr>
            <w:r>
              <w:rPr>
                <w:rFonts w:hint="eastAsia" w:ascii="华文仿宋" w:hAnsi="华文仿宋" w:eastAsia="华文仿宋"/>
                <w:sz w:val="24"/>
                <w:szCs w:val="28"/>
              </w:rPr>
              <w:t>有创血压主电缆线</w:t>
            </w:r>
          </w:p>
        </w:tc>
        <w:tc>
          <w:tcPr>
            <w:tcW w:w="1223" w:type="dxa"/>
          </w:tcPr>
          <w:p w14:paraId="1B42B28A">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5455067C">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根</w:t>
            </w:r>
          </w:p>
        </w:tc>
      </w:tr>
      <w:tr w14:paraId="795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00B70E97">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4996" w:type="dxa"/>
            <w:shd w:val="clear" w:color="auto" w:fill="FFFFFF" w:themeFill="background1"/>
            <w:vAlign w:val="top"/>
          </w:tcPr>
          <w:p w14:paraId="76C2CDDC">
            <w:pPr>
              <w:tabs>
                <w:tab w:val="left" w:pos="1256"/>
              </w:tabs>
              <w:spacing w:line="500" w:lineRule="exact"/>
              <w:jc w:val="left"/>
              <w:rPr>
                <w:rFonts w:ascii="华文仿宋" w:hAnsi="华文仿宋" w:eastAsia="华文仿宋" w:cstheme="minorBidi"/>
                <w:kern w:val="0"/>
                <w:sz w:val="24"/>
                <w:szCs w:val="28"/>
                <w:lang w:val="en-US" w:eastAsia="zh-CN" w:bidi="ar-SA"/>
              </w:rPr>
            </w:pPr>
            <w:r>
              <w:rPr>
                <w:rFonts w:hint="eastAsia" w:ascii="华文仿宋" w:hAnsi="华文仿宋" w:eastAsia="华文仿宋"/>
                <w:sz w:val="24"/>
                <w:szCs w:val="28"/>
              </w:rPr>
              <w:t>7针血氧主电缆</w:t>
            </w:r>
          </w:p>
        </w:tc>
        <w:tc>
          <w:tcPr>
            <w:tcW w:w="1223" w:type="dxa"/>
          </w:tcPr>
          <w:p w14:paraId="591A7588">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714CC57A">
            <w:pPr>
              <w:spacing w:line="440" w:lineRule="exact"/>
              <w:jc w:val="center"/>
              <w:rPr>
                <w:rFonts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根</w:t>
            </w:r>
          </w:p>
        </w:tc>
      </w:tr>
      <w:tr w14:paraId="0577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1BE22237">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w:t>
            </w:r>
          </w:p>
        </w:tc>
        <w:tc>
          <w:tcPr>
            <w:tcW w:w="4996" w:type="dxa"/>
            <w:shd w:val="clear" w:color="auto" w:fill="FFFFFF" w:themeFill="background1"/>
            <w:vAlign w:val="top"/>
          </w:tcPr>
          <w:p w14:paraId="6E3D8D12">
            <w:pPr>
              <w:tabs>
                <w:tab w:val="left" w:pos="1256"/>
              </w:tabs>
              <w:spacing w:line="500" w:lineRule="exact"/>
              <w:jc w:val="left"/>
              <w:rPr>
                <w:rFonts w:ascii="华文仿宋" w:hAnsi="华文仿宋" w:eastAsia="华文仿宋" w:cstheme="minorBidi"/>
                <w:kern w:val="0"/>
                <w:sz w:val="24"/>
                <w:szCs w:val="28"/>
                <w:lang w:val="en-US" w:eastAsia="zh-CN" w:bidi="ar-SA"/>
              </w:rPr>
            </w:pPr>
            <w:r>
              <w:rPr>
                <w:rFonts w:hint="eastAsia" w:ascii="华文仿宋" w:hAnsi="华文仿宋" w:eastAsia="华文仿宋"/>
                <w:sz w:val="24"/>
                <w:szCs w:val="28"/>
              </w:rPr>
              <w:t>成人血氧探头</w:t>
            </w:r>
          </w:p>
        </w:tc>
        <w:tc>
          <w:tcPr>
            <w:tcW w:w="1223" w:type="dxa"/>
          </w:tcPr>
          <w:p w14:paraId="76E8063B">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5AD26D0F">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套</w:t>
            </w:r>
          </w:p>
        </w:tc>
      </w:tr>
      <w:tr w14:paraId="2D55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62EADCA5">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w:t>
            </w:r>
          </w:p>
        </w:tc>
        <w:tc>
          <w:tcPr>
            <w:tcW w:w="4996" w:type="dxa"/>
            <w:shd w:val="clear" w:color="auto" w:fill="FFFFFF" w:themeFill="background1"/>
            <w:vAlign w:val="top"/>
          </w:tcPr>
          <w:p w14:paraId="0A3FEF06">
            <w:pPr>
              <w:tabs>
                <w:tab w:val="left" w:pos="1256"/>
              </w:tabs>
              <w:spacing w:line="500" w:lineRule="exact"/>
              <w:jc w:val="left"/>
              <w:rPr>
                <w:rFonts w:ascii="华文仿宋" w:hAnsi="华文仿宋" w:eastAsia="华文仿宋" w:cstheme="minorBidi"/>
                <w:kern w:val="0"/>
                <w:sz w:val="24"/>
                <w:szCs w:val="28"/>
                <w:lang w:val="en-US" w:eastAsia="zh-CN" w:bidi="ar-SA"/>
              </w:rPr>
            </w:pPr>
            <w:r>
              <w:rPr>
                <w:rFonts w:hint="eastAsia" w:ascii="华文仿宋" w:hAnsi="华文仿宋" w:eastAsia="华文仿宋"/>
                <w:sz w:val="24"/>
                <w:szCs w:val="28"/>
              </w:rPr>
              <w:t>无创血压导气管（直插式插头）</w:t>
            </w:r>
          </w:p>
        </w:tc>
        <w:tc>
          <w:tcPr>
            <w:tcW w:w="1223" w:type="dxa"/>
          </w:tcPr>
          <w:p w14:paraId="350A1214">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1151737B">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根</w:t>
            </w:r>
          </w:p>
        </w:tc>
      </w:tr>
      <w:tr w14:paraId="47BD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70714838">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9</w:t>
            </w:r>
          </w:p>
        </w:tc>
        <w:tc>
          <w:tcPr>
            <w:tcW w:w="4996" w:type="dxa"/>
            <w:shd w:val="clear" w:color="auto" w:fill="FFFFFF" w:themeFill="background1"/>
            <w:vAlign w:val="top"/>
          </w:tcPr>
          <w:p w14:paraId="615B1AD3">
            <w:pPr>
              <w:tabs>
                <w:tab w:val="left" w:pos="1256"/>
              </w:tabs>
              <w:spacing w:line="500" w:lineRule="exact"/>
              <w:jc w:val="left"/>
              <w:rPr>
                <w:rFonts w:ascii="华文仿宋" w:hAnsi="华文仿宋" w:eastAsia="华文仿宋" w:cstheme="minorBidi"/>
                <w:kern w:val="0"/>
                <w:sz w:val="24"/>
                <w:szCs w:val="28"/>
                <w:lang w:val="en-US" w:eastAsia="zh-CN" w:bidi="ar-SA"/>
              </w:rPr>
            </w:pPr>
            <w:r>
              <w:rPr>
                <w:rFonts w:hint="eastAsia" w:ascii="华文仿宋" w:hAnsi="华文仿宋" w:eastAsia="华文仿宋"/>
                <w:sz w:val="24"/>
                <w:szCs w:val="28"/>
              </w:rPr>
              <w:t>成人血压袖套</w:t>
            </w:r>
          </w:p>
        </w:tc>
        <w:tc>
          <w:tcPr>
            <w:tcW w:w="1223" w:type="dxa"/>
          </w:tcPr>
          <w:p w14:paraId="05BBC601">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6C8B9AF1">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套</w:t>
            </w:r>
          </w:p>
        </w:tc>
      </w:tr>
      <w:tr w14:paraId="67CC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4ED38410">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10</w:t>
            </w:r>
          </w:p>
        </w:tc>
        <w:tc>
          <w:tcPr>
            <w:tcW w:w="4996" w:type="dxa"/>
            <w:shd w:val="clear" w:color="auto" w:fill="FFFFFF" w:themeFill="background1"/>
            <w:vAlign w:val="top"/>
          </w:tcPr>
          <w:p w14:paraId="651C6C33">
            <w:pPr>
              <w:tabs>
                <w:tab w:val="left" w:pos="1256"/>
              </w:tabs>
              <w:spacing w:line="500" w:lineRule="exact"/>
              <w:jc w:val="left"/>
              <w:rPr>
                <w:rFonts w:ascii="华文仿宋" w:hAnsi="华文仿宋" w:eastAsia="华文仿宋" w:cstheme="minorBidi"/>
                <w:kern w:val="2"/>
                <w:sz w:val="24"/>
                <w:szCs w:val="28"/>
                <w:lang w:val="en-US" w:eastAsia="zh-CN" w:bidi="ar-SA"/>
              </w:rPr>
            </w:pPr>
            <w:r>
              <w:rPr>
                <w:rFonts w:hint="eastAsia" w:ascii="华文仿宋" w:hAnsi="华文仿宋" w:eastAsia="华文仿宋"/>
                <w:sz w:val="24"/>
                <w:szCs w:val="28"/>
              </w:rPr>
              <w:t>有创血压电缆线</w:t>
            </w:r>
          </w:p>
        </w:tc>
        <w:tc>
          <w:tcPr>
            <w:tcW w:w="1223" w:type="dxa"/>
          </w:tcPr>
          <w:p w14:paraId="4F6B0CBE">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6AE17254">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根</w:t>
            </w:r>
          </w:p>
        </w:tc>
      </w:tr>
    </w:tbl>
    <w:p w14:paraId="3B3B0F0D">
      <w:pPr>
        <w:spacing w:line="440" w:lineRule="exact"/>
        <w:rPr>
          <w:rFonts w:ascii="仿宋" w:hAnsi="仿宋" w:eastAsia="仿宋" w:cs="仿宋"/>
          <w:b/>
          <w:color w:val="000000" w:themeColor="text1"/>
          <w:sz w:val="24"/>
        </w:rPr>
      </w:pPr>
    </w:p>
    <w:p w14:paraId="21BBB066">
      <w:pPr>
        <w:numPr>
          <w:ilvl w:val="0"/>
          <w:numId w:val="0"/>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kern w:val="2"/>
          <w:sz w:val="24"/>
          <w:szCs w:val="24"/>
          <w:lang w:val="en-US" w:eastAsia="zh-CN" w:bidi="ar-SA"/>
        </w:rPr>
        <w:t>五、</w:t>
      </w: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1.3中标供应商须保证中标后所提供的设备为原装、全新合格的产品</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5DBC1BB">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w:t>
      </w:r>
      <w:r>
        <w:rPr>
          <w:rFonts w:hint="eastAsia" w:ascii="仿宋" w:hAnsi="仿宋" w:eastAsia="仿宋" w:cs="仿宋"/>
          <w:color w:val="000000" w:themeColor="text1"/>
          <w:sz w:val="24"/>
          <w:highlight w:val="none"/>
        </w:rPr>
        <w:t>确认发票无误后一个月内支付合同总金额的</w:t>
      </w: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5%；合同总金额的5%</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3">
    <w:panose1 w:val="050401020108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3CC1C2D7"/>
    <w:multiLevelType w:val="singleLevel"/>
    <w:tmpl w:val="3CC1C2D7"/>
    <w:lvl w:ilvl="0" w:tentative="0">
      <w:start w:val="1"/>
      <w:numFmt w:val="chineseCounting"/>
      <w:suff w:val="nothing"/>
      <w:lvlText w:val="%1、"/>
      <w:lvlJc w:val="left"/>
      <w:rPr>
        <w:rFonts w:hint="eastAsia"/>
      </w:rPr>
    </w:lvl>
  </w:abstractNum>
  <w:abstractNum w:abstractNumId="3">
    <w:nsid w:val="47D90E49"/>
    <w:multiLevelType w:val="multilevel"/>
    <w:tmpl w:val="47D90E4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1D2C7217"/>
    <w:rsid w:val="20372DFC"/>
    <w:rsid w:val="206831B1"/>
    <w:rsid w:val="22D309D5"/>
    <w:rsid w:val="23683A18"/>
    <w:rsid w:val="23E7584F"/>
    <w:rsid w:val="258D2337"/>
    <w:rsid w:val="268A1BB3"/>
    <w:rsid w:val="28BF1285"/>
    <w:rsid w:val="28DF3782"/>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4757E65"/>
    <w:rsid w:val="668E3985"/>
    <w:rsid w:val="66AF192B"/>
    <w:rsid w:val="6741119A"/>
    <w:rsid w:val="677850FC"/>
    <w:rsid w:val="69C96B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 w:type="paragraph" w:customStyle="1" w:styleId="1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2695</Words>
  <Characters>2974</Characters>
  <Lines>5</Lines>
  <Paragraphs>1</Paragraphs>
  <TotalTime>22</TotalTime>
  <ScaleCrop>false</ScaleCrop>
  <LinksUpToDate>false</LinksUpToDate>
  <CharactersWithSpaces>3087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2025-04-16T02:34:36Z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